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644" w:type="dxa"/>
        <w:jc w:val="start"/>
        <w:tblInd w:w="-1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2"/>
        <w:gridCol w:w="2407"/>
        <w:gridCol w:w="1384"/>
        <w:gridCol w:w="2429"/>
        <w:gridCol w:w="1051"/>
        <w:gridCol w:w="2336"/>
        <w:gridCol w:w="25"/>
      </w:tblGrid>
      <w:tr>
        <w:trPr>
          <w:trHeight w:val="495" w:hRule="atLeast"/>
          <w:cantSplit w:val="true"/>
        </w:trPr>
        <w:tc>
          <w:tcPr>
            <w:tcW w:w="2419" w:type="dxa"/>
            <w:gridSpan w:val="2"/>
            <w:vMerge w:val="restart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ind w:start="80"/>
              <w:rPr>
                <w:rFonts w:ascii="Bookman Old Style" w:hAnsi="Bookman Old Style"/>
                <w:sz w:val="18"/>
              </w:rPr>
            </w:pPr>
            <w:r>
              <w:rPr>
                <w:rFonts w:ascii="Bookman Old Style" w:hAnsi="Bookman Old Style"/>
                <w:sz w:val="18"/>
              </w:rPr>
            </w:r>
          </w:p>
          <w:p>
            <w:pPr>
              <w:pStyle w:val="Normal"/>
              <w:ind w:start="80"/>
              <w:jc w:val="center"/>
              <w:rPr>
                <w:rFonts w:ascii="Bookman Old Style" w:hAnsi="Bookman Old Style"/>
                <w:sz w:val="18"/>
              </w:rPr>
            </w:pPr>
            <w:r>
              <w:rPr>
                <w:rFonts w:ascii="Bookman Old Style" w:hAnsi="Bookman Old Style"/>
                <w:sz w:val="18"/>
              </w:rPr>
            </w:r>
          </w:p>
          <w:p>
            <w:pPr>
              <w:pStyle w:val="Normal"/>
              <w:ind w:start="80"/>
              <w:rPr>
                <w:rFonts w:ascii="Bookman Old Style" w:hAnsi="Bookman Old Style"/>
                <w:sz w:val="18"/>
              </w:rPr>
            </w:pPr>
            <w:r>
              <w:rPr>
                <w:i/>
                <w:iCs/>
                <w:color w:val="000000"/>
                <w:sz w:val="22"/>
              </w:rPr>
              <w:t xml:space="preserve">  </w:t>
            </w:r>
            <w:r>
              <w:rPr/>
              <w:drawing>
                <wp:inline distT="0" distB="0" distL="0" distR="0">
                  <wp:extent cx="1352550" cy="628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4" w:type="dxa"/>
            <w:gridSpan w:val="3"/>
            <w:vMerge w:val="restart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jc w:val="center"/>
              <w:rPr>
                <w:sz w:val="18"/>
              </w:rPr>
            </w:pPr>
            <w:r>
              <w:rPr>
                <w:b/>
                <w:bCs/>
              </w:rPr>
              <w:t>KARTA PRODUKTU</w:t>
            </w:r>
          </w:p>
          <w:p>
            <w:pPr>
              <w:pStyle w:val="Normal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336" w:type="dxa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i/>
                <w:i/>
                <w:iCs/>
                <w:color w:val="000000"/>
                <w:sz w:val="22"/>
              </w:rPr>
            </w:pPr>
            <w:r>
              <w:rPr>
                <w:i/>
                <w:iCs/>
                <w:color w:val="000000"/>
                <w:sz w:val="22"/>
              </w:rPr>
              <w:t>Księga HACCP</w:t>
            </w:r>
          </w:p>
          <w:p>
            <w:pPr>
              <w:pStyle w:val="Normal"/>
              <w:rPr>
                <w:i/>
                <w:i/>
                <w:iCs/>
                <w:color w:val="000000"/>
                <w:sz w:val="22"/>
              </w:rPr>
            </w:pPr>
            <w:r>
              <w:rPr>
                <w:i/>
                <w:iCs/>
                <w:color w:val="000000"/>
                <w:sz w:val="22"/>
              </w:rPr>
              <w:t>Wydanie:  01</w:t>
            </w:r>
          </w:p>
          <w:p>
            <w:pPr>
              <w:pStyle w:val="Normal"/>
              <w:rPr>
                <w:b/>
                <w:bCs/>
                <w:i/>
                <w:i/>
                <w:iCs/>
                <w:sz w:val="18"/>
              </w:rPr>
            </w:pPr>
            <w:r>
              <w:rPr>
                <w:i/>
                <w:iCs/>
                <w:color w:val="000000"/>
                <w:sz w:val="22"/>
              </w:rPr>
              <w:t>Egzemplarz oryginalny</w:t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0" w:hRule="atLeast"/>
          <w:cantSplit w:val="true"/>
        </w:trPr>
        <w:tc>
          <w:tcPr>
            <w:tcW w:w="2419" w:type="dxa"/>
            <w:gridSpan w:val="2"/>
            <w:vMerge w:val="continue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ind w:start="80"/>
              <w:rPr>
                <w:rFonts w:ascii="Bookman Old Style" w:hAnsi="Bookman Old Style"/>
                <w:sz w:val="18"/>
              </w:rPr>
            </w:pPr>
            <w:r>
              <w:rPr>
                <w:rFonts w:ascii="Bookman Old Style" w:hAnsi="Bookman Old Style"/>
                <w:sz w:val="18"/>
              </w:rPr>
            </w:r>
          </w:p>
        </w:tc>
        <w:tc>
          <w:tcPr>
            <w:tcW w:w="4864" w:type="dxa"/>
            <w:gridSpan w:val="3"/>
            <w:vMerge w:val="continue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rFonts w:ascii="Bookman Old Style" w:hAnsi="Bookman Old Style"/>
                <w:sz w:val="18"/>
              </w:rPr>
            </w:pPr>
            <w:r>
              <w:rPr>
                <w:rFonts w:ascii="Bookman Old Style" w:hAnsi="Bookman Old Style"/>
                <w:sz w:val="18"/>
              </w:rPr>
            </w:r>
          </w:p>
        </w:tc>
        <w:tc>
          <w:tcPr>
            <w:tcW w:w="2336" w:type="dxa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b/>
                <w:bCs/>
                <w:i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PÓŁPRODUKTY  MĄCZNE</w:t>
            </w:r>
          </w:p>
          <w:p>
            <w:pPr>
              <w:pStyle w:val="Normal"/>
              <w:rPr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18"/>
              </w:rPr>
              <w:t>Podgrupa:  PIEROGI</w:t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35" w:hRule="atLeast"/>
          <w:cantSplit w:val="true"/>
        </w:trPr>
        <w:tc>
          <w:tcPr>
            <w:tcW w:w="2419" w:type="dxa"/>
            <w:gridSpan w:val="2"/>
            <w:vMerge w:val="continue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ind w:start="80"/>
              <w:rPr>
                <w:rFonts w:ascii="Bookman Old Style" w:hAnsi="Bookman Old Style"/>
                <w:sz w:val="18"/>
              </w:rPr>
            </w:pPr>
            <w:r>
              <w:rPr>
                <w:rFonts w:ascii="Bookman Old Style" w:hAnsi="Bookman Old Style"/>
                <w:sz w:val="18"/>
              </w:rPr>
            </w:r>
          </w:p>
        </w:tc>
        <w:tc>
          <w:tcPr>
            <w:tcW w:w="4864" w:type="dxa"/>
            <w:gridSpan w:val="3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Heading1"/>
              <w:rPr>
                <w:rFonts w:ascii="Bookman Old Style" w:hAnsi="Bookman Old Style"/>
                <w:sz w:val="18"/>
              </w:rPr>
            </w:pPr>
            <w:r>
              <w:rPr/>
              <w:t>PIEROGI RUSKIE 2,5 KG</w:t>
            </w:r>
          </w:p>
        </w:tc>
        <w:tc>
          <w:tcPr>
            <w:tcW w:w="2336" w:type="dxa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i/>
                <w:i/>
                <w:iCs/>
                <w:color w:val="000000"/>
                <w:sz w:val="22"/>
              </w:rPr>
            </w:pPr>
            <w:r>
              <w:rPr>
                <w:i/>
                <w:iCs/>
                <w:color w:val="000000"/>
                <w:sz w:val="22"/>
              </w:rPr>
              <w:t>Rozdz.: 3</w:t>
            </w:r>
          </w:p>
          <w:p>
            <w:pPr>
              <w:pStyle w:val="Heading3"/>
              <w:rPr/>
            </w:pPr>
            <w:r>
              <w:rPr/>
              <w:t>Stron.: 2</w:t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PRODUCENT</w:t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ABEL Sp. z o. o. ul. Górna 8; 98-277 Brąszewice</w:t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60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rPr>
                <w:i/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OPIS  PRODUKTU</w:t>
            </w:r>
          </w:p>
          <w:p>
            <w:pPr>
              <w:pStyle w:val="Normal"/>
              <w:rPr>
                <w:i/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PRZENACZENIE KONSUMENCKIE</w:t>
            </w:r>
          </w:p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Mrożony półprodukt przeznaczony do spożycia po obróbce termicznej. Pierogi sporządzone z nadzieniem ziemniaczano-serowym i cebuli. Przeznaczenie produktu ogólno konsumenckie, za wyjątkiem dzieci do 3 roku życia oraz osób z przeciwwskazaniami lekarskimi</w:t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85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i/>
                <w:i/>
                <w:iCs/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>CHARAKTERYSTYKA PRODUKTU: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- forma opakowania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- cechy sensoryczne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- waga netto          </w:t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Torebka termozgrzewalna z folii polietylenowej z barwnym zewnętrznym nadrukiem 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Wygląd w stanie zamrożenia :kształt  zgodny z zastosowaną formą, bez nadmiernych zlepów i oblodzenia, konsystencja twarda, zamrożona. Po przyrządzeniu: konsystencja miękka, nie rozpadająca się, zachowany  kształt, charakterystyczny dla pierogów i zastosowanej formy; dopuszcza się do 2% pierogów rozklejonych po ugotowaniu; barwa ciasta i farszu charakterystyczna dla rodzaju pieroga i zastosowanych surowców;  smak i zapach charakterystyczny dla pierogów ruskich, zharmonizowany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Zgodne z deklaracją producenta 2,5 g</w:t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</w:p>
          <w:p>
            <w:pPr>
              <w:pStyle w:val="Normal"/>
              <w:rPr>
                <w:i/>
                <w:i/>
                <w:iCs/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 xml:space="preserve">SKŁADNIKI                      </w:t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Ciasto: mąka </w:t>
            </w:r>
            <w:r>
              <w:rPr>
                <w:i/>
                <w:iCs/>
                <w:sz w:val="22"/>
                <w:lang w:bidi="fa-IR"/>
              </w:rPr>
              <w:t>pszenna</w:t>
            </w:r>
            <w:r>
              <w:rPr>
                <w:sz w:val="22"/>
                <w:lang w:bidi="fa-IR"/>
              </w:rPr>
              <w:t xml:space="preserve"> 65%, woda, płatki ziemniaczane, olej roślinny rzepakowy, sól. Farsz: ziemniaki gotowane 20%, płatki ziemniaczane 10%, cebula świeża 9%, </w:t>
            </w:r>
            <w:r>
              <w:rPr>
                <w:i/>
                <w:iCs/>
                <w:sz w:val="22"/>
                <w:lang w:bidi="fa-IR"/>
              </w:rPr>
              <w:t>twaróg półtłusty</w:t>
            </w:r>
            <w:r>
              <w:rPr>
                <w:sz w:val="22"/>
                <w:lang w:bidi="fa-IR"/>
              </w:rPr>
              <w:t xml:space="preserve"> 6%, woda, olej roślinny rzepakowy, skrobia ziemniaczana, sól, pieprz czarny mielony.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Zawartość farszu w produkcie: 30%.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Sposób przygotowania</w:t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Zamrożoną porcję pierogów wrzucać stopniowo do 18 litrów wrzącej, osolonej wody z dodatkiem łyżki oleju. Następnie pierogi delikatnie przemieszać, aby nie przylegały do dna. Po wypłynięciu gotować 10-12 min. Osączyć i podać gorące do spożycia.</w:t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i/>
                <w:i/>
                <w:iCs/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>KRAJ POCHODZENIA</w:t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Polska</w:t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  <w:cantSplit w:val="true"/>
        </w:trPr>
        <w:tc>
          <w:tcPr>
            <w:tcW w:w="9619" w:type="dxa"/>
            <w:gridSpan w:val="6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tbl>
            <w:tblPr>
              <w:tblW w:w="9620" w:type="dxa"/>
              <w:jc w:val="start"/>
              <w:tblInd w:w="0" w:type="dxa"/>
              <w:tblLayout w:type="fixed"/>
              <w:tblCellMar>
                <w:top w:w="0" w:type="dxa"/>
                <w:start w:w="70" w:type="dxa"/>
                <w:bottom w:w="0" w:type="dxa"/>
                <w:end w:w="70" w:type="dxa"/>
              </w:tblCellMar>
              <w:tblLook w:firstRow="0" w:noVBand="0" w:lastRow="0" w:firstColumn="0" w:lastColumn="0" w:noHBand="0" w:val="0000"/>
            </w:tblPr>
            <w:tblGrid>
              <w:gridCol w:w="2420"/>
              <w:gridCol w:w="7200"/>
            </w:tblGrid>
            <w:tr>
              <w:trPr>
                <w:trHeight w:val="255" w:hRule="atLeast"/>
                <w:cantSplit w:val="true"/>
              </w:trPr>
              <w:tc>
                <w:tcPr>
                  <w:tcW w:w="2420" w:type="dxa"/>
                  <w:tcBorders>
                    <w:top w:val="single" w:sz="4" w:space="0" w:color="000080"/>
                    <w:start w:val="single" w:sz="4" w:space="0" w:color="000080"/>
                    <w:bottom w:val="single" w:sz="4" w:space="0" w:color="000080"/>
                    <w:end w:val="single" w:sz="4" w:space="0" w:color="000080"/>
                  </w:tcBorders>
                </w:tcPr>
                <w:p>
                  <w:pPr>
                    <w:pStyle w:val="Normal"/>
                    <w:rPr>
                      <w:i/>
                      <w:i/>
                      <w:iCs/>
                      <w:sz w:val="22"/>
                      <w:lang w:bidi="fa-IR"/>
                    </w:rPr>
                  </w:pPr>
                  <w:r>
                    <w:rPr>
                      <w:i/>
                      <w:iCs/>
                      <w:sz w:val="22"/>
                      <w:lang w:bidi="fa-IR"/>
                    </w:rPr>
                    <w:t xml:space="preserve">WARTOŚĆ ODZYWCZA W 100 G PRODUKTU </w:t>
                    <w:tab/>
                  </w:r>
                </w:p>
                <w:p>
                  <w:pPr>
                    <w:pStyle w:val="Normal"/>
                    <w:rPr>
                      <w:sz w:val="22"/>
                      <w:lang w:bidi="fa-IR"/>
                    </w:rPr>
                  </w:pPr>
                  <w:r>
                    <w:rPr>
                      <w:sz w:val="22"/>
                      <w:lang w:bidi="fa-IR"/>
                    </w:rPr>
                  </w:r>
                </w:p>
              </w:tc>
              <w:tc>
                <w:tcPr>
                  <w:tcW w:w="7200" w:type="dxa"/>
                  <w:tcBorders>
                    <w:top w:val="single" w:sz="4" w:space="0" w:color="000080"/>
                    <w:start w:val="single" w:sz="4" w:space="0" w:color="000080"/>
                    <w:bottom w:val="single" w:sz="4" w:space="0" w:color="000080"/>
                    <w:end w:val="single" w:sz="4" w:space="0" w:color="000080"/>
                  </w:tcBorders>
                </w:tcPr>
                <w:tbl>
                  <w:tblPr>
                    <w:tblW w:w="6520" w:type="dxa"/>
                    <w:jc w:val="start"/>
                    <w:tblInd w:w="0" w:type="dxa"/>
                    <w:tblLayout w:type="fixed"/>
                    <w:tblCellMar>
                      <w:top w:w="0" w:type="dxa"/>
                      <w:start w:w="108" w:type="dxa"/>
                      <w:bottom w:w="0" w:type="dxa"/>
                      <w:end w:w="108" w:type="dxa"/>
                    </w:tblCellMar>
                    <w:tblLook w:firstRow="1" w:noVBand="1" w:lastRow="0" w:firstColumn="1" w:lastColumn="0" w:noHBand="0" w:val="04a0"/>
                  </w:tblPr>
                  <w:tblGrid>
                    <w:gridCol w:w="3364"/>
                    <w:gridCol w:w="3156"/>
                  </w:tblGrid>
                  <w:tr>
                    <w:trPr/>
                    <w:tc>
                      <w:tcPr>
                        <w:tcW w:w="3364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Wartość odżywcza </w:t>
                        </w:r>
                      </w:p>
                    </w:tc>
                    <w:tc>
                      <w:tcPr>
                        <w:tcW w:w="3156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 100 g</w:t>
                        </w:r>
                      </w:p>
                    </w:tc>
                  </w:tr>
                  <w:tr>
                    <w:trPr/>
                    <w:tc>
                      <w:tcPr>
                        <w:tcW w:w="3364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Wartość energetyczna</w:t>
                        </w:r>
                      </w:p>
                    </w:tc>
                    <w:tc>
                      <w:tcPr>
                        <w:tcW w:w="3156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875 kJ / 209 kcal</w:t>
                        </w:r>
                      </w:p>
                    </w:tc>
                  </w:tr>
                  <w:tr>
                    <w:trPr/>
                    <w:tc>
                      <w:tcPr>
                        <w:tcW w:w="3364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Tłuszcz</w:t>
                        </w:r>
                      </w:p>
                    </w:tc>
                    <w:tc>
                      <w:tcPr>
                        <w:tcW w:w="3156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3,3 g</w:t>
                        </w:r>
                      </w:p>
                    </w:tc>
                  </w:tr>
                  <w:tr>
                    <w:trPr/>
                    <w:tc>
                      <w:tcPr>
                        <w:tcW w:w="3364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rPr/>
                        </w:pPr>
                        <w:r>
                          <w:rPr/>
                          <w:t xml:space="preserve">w tym kwasy tłuszczowe nasycone </w:t>
                        </w:r>
                      </w:p>
                    </w:tc>
                    <w:tc>
                      <w:tcPr>
                        <w:tcW w:w="3156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0,4 g</w:t>
                        </w:r>
                      </w:p>
                    </w:tc>
                  </w:tr>
                  <w:tr>
                    <w:trPr/>
                    <w:tc>
                      <w:tcPr>
                        <w:tcW w:w="3364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Węglowodany</w:t>
                        </w:r>
                      </w:p>
                    </w:tc>
                    <w:tc>
                      <w:tcPr>
                        <w:tcW w:w="3156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 xml:space="preserve">40,1 g </w:t>
                        </w:r>
                      </w:p>
                    </w:tc>
                  </w:tr>
                  <w:tr>
                    <w:trPr/>
                    <w:tc>
                      <w:tcPr>
                        <w:tcW w:w="3364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w tym cukry</w:t>
                        </w:r>
                      </w:p>
                    </w:tc>
                    <w:tc>
                      <w:tcPr>
                        <w:tcW w:w="3156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0,2 g</w:t>
                        </w:r>
                      </w:p>
                    </w:tc>
                  </w:tr>
                  <w:tr>
                    <w:trPr/>
                    <w:tc>
                      <w:tcPr>
                        <w:tcW w:w="3364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rPr/>
                        </w:pPr>
                        <w:r>
                          <w:rPr/>
                          <w:t>Błonnik</w:t>
                        </w:r>
                      </w:p>
                    </w:tc>
                    <w:tc>
                      <w:tcPr>
                        <w:tcW w:w="3156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1,6 g</w:t>
                        </w:r>
                      </w:p>
                    </w:tc>
                  </w:tr>
                  <w:tr>
                    <w:trPr/>
                    <w:tc>
                      <w:tcPr>
                        <w:tcW w:w="3364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Białko</w:t>
                        </w:r>
                      </w:p>
                    </w:tc>
                    <w:tc>
                      <w:tcPr>
                        <w:tcW w:w="3156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5,5 g</w:t>
                        </w:r>
                      </w:p>
                    </w:tc>
                  </w:tr>
                  <w:tr>
                    <w:trPr/>
                    <w:tc>
                      <w:tcPr>
                        <w:tcW w:w="3364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Sól</w:t>
                        </w:r>
                      </w:p>
                    </w:tc>
                    <w:tc>
                      <w:tcPr>
                        <w:tcW w:w="3156" w:type="dxa"/>
                        <w:tcBorders>
                          <w:top w:val="single" w:sz="4" w:space="0" w:color="000000"/>
                          <w:start w:val="single" w:sz="4" w:space="0" w:color="000000"/>
                          <w:bottom w:val="single" w:sz="4" w:space="0" w:color="000000"/>
                          <w:end w:val="single" w:sz="4" w:space="0" w:color="000000"/>
                        </w:tcBorders>
                      </w:tcPr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0,4 g</w:t>
                        </w:r>
                      </w:p>
                    </w:tc>
                  </w:tr>
                </w:tbl>
                <w:p>
                  <w:pPr>
                    <w:pStyle w:val="Normal"/>
                    <w:rPr>
                      <w:sz w:val="22"/>
                      <w:lang w:bidi="fa-IR"/>
                    </w:rPr>
                  </w:pPr>
                  <w:r>
                    <w:rPr>
                      <w:sz w:val="22"/>
                      <w:lang w:bidi="fa-IR"/>
                    </w:rPr>
                  </w:r>
                </w:p>
              </w:tc>
            </w:tr>
          </w:tbl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55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i/>
                <w:i/>
                <w:iCs/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  <w:r>
              <w:rPr>
                <w:i/>
                <w:iCs/>
                <w:sz w:val="22"/>
                <w:lang w:bidi="fa-IR"/>
              </w:rPr>
              <w:t>MATERIAŁ OPAKOWANIOWY</w:t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i/>
                <w:i/>
                <w:iCs/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>Opakowanie jednostkowe</w:t>
            </w:r>
            <w:r>
              <w:rPr>
                <w:sz w:val="22"/>
                <w:lang w:bidi="fa-IR"/>
              </w:rPr>
              <w:t xml:space="preserve">:  torebka termozgrzewalna z folii polietylenowej z zewnętrznym  barwnym nadrukiem lub pojemnik  plastikowy z przykryciem z zewnętrzna etykietą; </w:t>
            </w:r>
            <w:r>
              <w:rPr/>
              <w:t>opakowania posiadają zezwolenie PZH i spełniają wymagane kryteria  bezpieczeństwa;</w:t>
            </w:r>
            <w:r>
              <w:rPr>
                <w:sz w:val="22"/>
                <w:lang w:bidi="fa-IR"/>
              </w:rPr>
              <w:t xml:space="preserve"> </w:t>
            </w:r>
            <w:r>
              <w:rPr>
                <w:i/>
                <w:iCs/>
                <w:sz w:val="22"/>
                <w:lang w:bidi="fa-IR"/>
              </w:rPr>
              <w:t>Zbiorcze</w:t>
            </w:r>
            <w:r>
              <w:rPr>
                <w:sz w:val="22"/>
                <w:lang w:bidi="fa-IR"/>
              </w:rPr>
              <w:t xml:space="preserve">: kartony z tektury falistej lub kartonu bielonego, z zewnętrzną etykietą lub nadrukiem; </w:t>
            </w:r>
            <w:r>
              <w:rPr>
                <w:i/>
                <w:iCs/>
                <w:sz w:val="22"/>
                <w:lang w:bidi="fa-IR"/>
              </w:rPr>
              <w:t>Transportowe</w:t>
            </w:r>
            <w:r>
              <w:rPr>
                <w:sz w:val="22"/>
                <w:lang w:bidi="fa-IR"/>
              </w:rPr>
              <w:t xml:space="preserve">: paleta , folia typu strech </w:t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55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i/>
                <w:i/>
                <w:iCs/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>MODYFIKACJA GENETYCZNA</w:t>
            </w:r>
          </w:p>
          <w:p>
            <w:pPr>
              <w:pStyle w:val="Normal"/>
              <w:rPr>
                <w:i/>
                <w:i/>
                <w:iCs/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>PROMIENIOWANIE JONIZUJĄCE</w:t>
            </w:r>
          </w:p>
          <w:p>
            <w:pPr>
              <w:pStyle w:val="Heading2"/>
              <w:rPr>
                <w:sz w:val="22"/>
              </w:rPr>
            </w:pPr>
            <w:r>
              <w:rPr>
                <w:sz w:val="22"/>
              </w:rPr>
              <w:t>ALERGENY</w:t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wolny od modyfikacji genetycznej   ( GMO free)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nie stosuje się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0"/>
                <w:lang w:bidi="fa-IR"/>
              </w:rPr>
            </w:pPr>
            <w:r>
              <w:rPr>
                <w:sz w:val="22"/>
                <w:lang w:bidi="fa-IR"/>
              </w:rPr>
              <w:t xml:space="preserve">białko mleka, białko pszenne </w:t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74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i/>
                <w:i/>
                <w:iCs/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>CECHY MIKROBIOLOGICZNE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- Salmonella 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- Listeria monocytogenes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- Escherichia coli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- Liczba bakterii z grupy     coli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- bakterie redukujące siarczyny (IV) rosnące w warunkach beztlenowych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     </w:t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  <w:r>
              <w:rPr>
                <w:sz w:val="22"/>
                <w:lang w:bidi="fa-IR"/>
              </w:rPr>
              <w:t>nieobecne w 25g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  <w:r>
              <w:rPr>
                <w:sz w:val="22"/>
                <w:lang w:bidi="fa-IR"/>
              </w:rPr>
              <w:t>nieobecna w 25 g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  <w:r>
              <w:rPr>
                <w:sz w:val="22"/>
                <w:lang w:bidi="fa-IR"/>
              </w:rPr>
              <w:t>nie więcej niż  10¹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  <w:r>
              <w:rPr>
                <w:sz w:val="22"/>
                <w:lang w:bidi="fa-IR"/>
              </w:rPr>
              <w:t>nie więcej niż  10¹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nie więcej niż  10¹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74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i/>
                <w:i/>
                <w:iCs/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</w:r>
          </w:p>
          <w:p>
            <w:pPr>
              <w:pStyle w:val="Normal"/>
              <w:rPr>
                <w:i/>
                <w:i/>
                <w:iCs/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 xml:space="preserve">WARUNKI PRZECHOWYWANIA 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>I TRANSPORTU</w:t>
            </w:r>
            <w:r>
              <w:rPr>
                <w:sz w:val="22"/>
                <w:lang w:bidi="fa-IR"/>
              </w:rPr>
              <w:t xml:space="preserve">   </w:t>
            </w:r>
          </w:p>
          <w:p>
            <w:pPr>
              <w:pStyle w:val="Normal"/>
              <w:jc w:val="both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- temperatura,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- pomieszczenia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- transport </w:t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  <w:r>
              <w:rPr>
                <w:sz w:val="22"/>
                <w:lang w:bidi="fa-IR"/>
              </w:rPr>
              <w:t>- 18*C i niższa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pomieszczenia magazynu czyste;  produkt paletowany  w opakowaniach zbiorczych ( kartonach)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czysty, suchy,  komory chłodnicze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8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 xml:space="preserve">OKRES TRWAŁOŚCI   </w:t>
            </w:r>
            <w:r>
              <w:rPr>
                <w:sz w:val="22"/>
                <w:lang w:bidi="fa-IR"/>
              </w:rPr>
              <w:t xml:space="preserve">     </w:t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  </w:t>
            </w:r>
            <w:r>
              <w:rPr>
                <w:sz w:val="22"/>
                <w:lang w:bidi="fa-IR"/>
              </w:rPr>
              <w:t>12 miesięcy    od daty produkcji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70" w:hRule="atLeast"/>
          <w:cantSplit w:val="true"/>
        </w:trPr>
        <w:tc>
          <w:tcPr>
            <w:tcW w:w="2419" w:type="dxa"/>
            <w:gridSpan w:val="2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Heading6"/>
              <w:rPr>
                <w:sz w:val="22"/>
              </w:rPr>
            </w:pPr>
            <w:r>
              <w:rPr>
                <w:sz w:val="22"/>
              </w:rPr>
              <w:t>DOKUMENTY  PRZY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i/>
                <w:iCs/>
                <w:sz w:val="22"/>
                <w:lang w:bidi="fa-IR"/>
              </w:rPr>
              <w:t>DOSTAWIE</w:t>
            </w:r>
          </w:p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Heading6"/>
              <w:rPr>
                <w:sz w:val="22"/>
                <w:lang w:bidi="ar-SA"/>
              </w:rPr>
            </w:pPr>
            <w:r>
              <w:rPr>
                <w:sz w:val="22"/>
                <w:lang w:bidi="ar-SA"/>
              </w:rPr>
              <w:t>OZNAKOWANIE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</w:tc>
        <w:tc>
          <w:tcPr>
            <w:tcW w:w="7200" w:type="dxa"/>
            <w:gridSpan w:val="4"/>
            <w:tcBorders>
              <w:top w:val="single" w:sz="4" w:space="0" w:color="000080"/>
              <w:start w:val="single" w:sz="4" w:space="0" w:color="000080"/>
              <w:bottom w:val="single" w:sz="4" w:space="0" w:color="000080"/>
              <w:end w:val="single" w:sz="4" w:space="0" w:color="000080"/>
            </w:tcBorders>
          </w:tcPr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Świadectwo jakości  producenta – każda dostawa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 xml:space="preserve">Pełne badania od producenta  : mikrobiologiczne,– nie rzadziej niż raz w roku 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  <w:t>zgodne z obowiązującymi przepisami , zewnętrzna czytelna etykieta</w:t>
            </w:r>
          </w:p>
          <w:p>
            <w:pPr>
              <w:pStyle w:val="Normal"/>
              <w:rPr>
                <w:sz w:val="22"/>
                <w:lang w:bidi="fa-IR"/>
              </w:rPr>
            </w:pPr>
            <w:r>
              <w:rPr>
                <w:sz w:val="22"/>
                <w:lang w:bidi="fa-IR"/>
              </w:rPr>
            </w:r>
          </w:p>
        </w:tc>
        <w:tc>
          <w:tcPr>
            <w:tcW w:w="2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2" w:type="dxa"/>
            <w:tcBorders/>
          </w:tcPr>
          <w:p>
            <w:pPr>
              <w:pStyle w:val="Footer"/>
              <w:rPr>
                <w:sz w:val="22"/>
              </w:rPr>
            </w:pPr>
            <w:r>
              <w:rPr>
                <w:iCs/>
                <w:sz w:val="22"/>
              </w:rPr>
            </w:r>
          </w:p>
        </w:tc>
        <w:tc>
          <w:tcPr>
            <w:tcW w:w="3791" w:type="dxa"/>
            <w:gridSpan w:val="2"/>
            <w:tcBorders>
              <w:top w:val="single" w:sz="6" w:space="0" w:color="0000FF"/>
              <w:start w:val="single" w:sz="6" w:space="0" w:color="0000FF"/>
              <w:bottom w:val="single" w:sz="6" w:space="0" w:color="0000FF"/>
              <w:end w:val="single" w:sz="6" w:space="0" w:color="0000FF"/>
            </w:tcBorders>
          </w:tcPr>
          <w:p>
            <w:pPr>
              <w:pStyle w:val="Footer"/>
              <w:rPr>
                <w:sz w:val="22"/>
              </w:rPr>
            </w:pPr>
            <w:r>
              <w:rPr>
                <w:iCs/>
                <w:sz w:val="22"/>
              </w:rPr>
              <w:t>Opracował :</w:t>
            </w:r>
            <w:r>
              <w:rPr>
                <w:sz w:val="22"/>
              </w:rPr>
              <w:t xml:space="preserve">  Ada Wawrzyniak</w:t>
            </w:r>
          </w:p>
        </w:tc>
        <w:tc>
          <w:tcPr>
            <w:tcW w:w="2429" w:type="dxa"/>
            <w:tcBorders>
              <w:top w:val="single" w:sz="6" w:space="0" w:color="0000FF"/>
              <w:start w:val="single" w:sz="6" w:space="0" w:color="0000FF"/>
              <w:bottom w:val="single" w:sz="6" w:space="0" w:color="0000FF"/>
              <w:end w:val="single" w:sz="6" w:space="0" w:color="0000FF"/>
            </w:tcBorders>
          </w:tcPr>
          <w:p>
            <w:pPr>
              <w:pStyle w:val="Footer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Data,      </w:t>
            </w:r>
            <w:r>
              <w:rPr>
                <w:color w:val="000000"/>
                <w:sz w:val="22"/>
              </w:rPr>
              <w:t>21.01.2025</w:t>
            </w:r>
          </w:p>
        </w:tc>
        <w:tc>
          <w:tcPr>
            <w:tcW w:w="3412" w:type="dxa"/>
            <w:gridSpan w:val="3"/>
            <w:tcBorders>
              <w:top w:val="single" w:sz="6" w:space="0" w:color="0000FF"/>
              <w:start w:val="single" w:sz="6" w:space="0" w:color="0000FF"/>
              <w:bottom w:val="single" w:sz="6" w:space="0" w:color="0000FF"/>
              <w:end w:val="single" w:sz="6" w:space="0" w:color="0000FF"/>
            </w:tcBorders>
          </w:tcPr>
          <w:p>
            <w:pPr>
              <w:pStyle w:val="Footer"/>
              <w:rPr>
                <w:iCs/>
                <w:sz w:val="22"/>
              </w:rPr>
            </w:pPr>
            <w:r>
              <w:rPr>
                <w:iCs/>
                <w:sz w:val="22"/>
              </w:rPr>
            </w:r>
          </w:p>
        </w:tc>
      </w:tr>
      <w:tr>
        <w:trPr>
          <w:cantSplit w:val="true"/>
        </w:trPr>
        <w:tc>
          <w:tcPr>
            <w:tcW w:w="12" w:type="dxa"/>
            <w:tcBorders/>
          </w:tcPr>
          <w:p>
            <w:pPr>
              <w:pStyle w:val="Footer"/>
              <w:rPr>
                <w:iCs/>
                <w:sz w:val="22"/>
              </w:rPr>
            </w:pPr>
            <w:r>
              <w:rPr>
                <w:iCs/>
                <w:sz w:val="22"/>
              </w:rPr>
            </w:r>
          </w:p>
        </w:tc>
        <w:tc>
          <w:tcPr>
            <w:tcW w:w="3791" w:type="dxa"/>
            <w:gridSpan w:val="2"/>
            <w:tcBorders>
              <w:top w:val="single" w:sz="6" w:space="0" w:color="0000FF"/>
              <w:start w:val="single" w:sz="6" w:space="0" w:color="0000FF"/>
              <w:bottom w:val="single" w:sz="6" w:space="0" w:color="0000FF"/>
              <w:end w:val="single" w:sz="6" w:space="0" w:color="0000FF"/>
            </w:tcBorders>
          </w:tcPr>
          <w:p>
            <w:pPr>
              <w:pStyle w:val="Footer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Sprawdził:  </w:t>
            </w:r>
            <w:r>
              <w:rPr>
                <w:sz w:val="22"/>
              </w:rPr>
              <w:t xml:space="preserve"> Szymon Kochaniec</w:t>
            </w:r>
          </w:p>
        </w:tc>
        <w:tc>
          <w:tcPr>
            <w:tcW w:w="2429" w:type="dxa"/>
            <w:tcBorders>
              <w:top w:val="single" w:sz="6" w:space="0" w:color="0000FF"/>
              <w:start w:val="single" w:sz="6" w:space="0" w:color="0000FF"/>
              <w:bottom w:val="single" w:sz="6" w:space="0" w:color="0000FF"/>
              <w:end w:val="single" w:sz="6" w:space="0" w:color="0000FF"/>
            </w:tcBorders>
          </w:tcPr>
          <w:p>
            <w:pPr>
              <w:pStyle w:val="Footer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Data,      </w:t>
            </w:r>
            <w:r>
              <w:rPr>
                <w:color w:val="000000"/>
                <w:sz w:val="22"/>
              </w:rPr>
              <w:t>21.01.2025</w:t>
            </w:r>
          </w:p>
        </w:tc>
        <w:tc>
          <w:tcPr>
            <w:tcW w:w="3412" w:type="dxa"/>
            <w:gridSpan w:val="3"/>
            <w:tcBorders>
              <w:top w:val="single" w:sz="6" w:space="0" w:color="0000FF"/>
              <w:start w:val="single" w:sz="6" w:space="0" w:color="0000FF"/>
              <w:bottom w:val="single" w:sz="6" w:space="0" w:color="0000FF"/>
              <w:end w:val="single" w:sz="6" w:space="0" w:color="0000FF"/>
            </w:tcBorders>
          </w:tcPr>
          <w:p>
            <w:pPr>
              <w:pStyle w:val="Footer"/>
              <w:rPr>
                <w:iCs/>
                <w:sz w:val="22"/>
              </w:rPr>
            </w:pPr>
            <w:r>
              <w:rPr>
                <w:iCs/>
                <w:sz w:val="22"/>
              </w:rPr>
            </w:r>
          </w:p>
        </w:tc>
      </w:tr>
      <w:tr>
        <w:trPr>
          <w:cantSplit w:val="true"/>
        </w:trPr>
        <w:tc>
          <w:tcPr>
            <w:tcW w:w="12" w:type="dxa"/>
            <w:tcBorders/>
          </w:tcPr>
          <w:p>
            <w:pPr>
              <w:pStyle w:val="Footer"/>
              <w:rPr>
                <w:sz w:val="22"/>
              </w:rPr>
            </w:pPr>
            <w:r>
              <w:rPr>
                <w:iCs/>
                <w:sz w:val="22"/>
              </w:rPr>
            </w:r>
          </w:p>
        </w:tc>
        <w:tc>
          <w:tcPr>
            <w:tcW w:w="3791" w:type="dxa"/>
            <w:gridSpan w:val="2"/>
            <w:tcBorders>
              <w:top w:val="single" w:sz="6" w:space="0" w:color="0000FF"/>
              <w:start w:val="single" w:sz="6" w:space="0" w:color="0000FF"/>
              <w:bottom w:val="single" w:sz="6" w:space="0" w:color="0000FF"/>
              <w:end w:val="single" w:sz="6" w:space="0" w:color="0000FF"/>
            </w:tcBorders>
          </w:tcPr>
          <w:p>
            <w:pPr>
              <w:pStyle w:val="Footer"/>
              <w:rPr>
                <w:sz w:val="22"/>
              </w:rPr>
            </w:pPr>
            <w:r>
              <w:rPr>
                <w:iCs/>
                <w:sz w:val="22"/>
              </w:rPr>
              <w:t>Zatwierdził :</w:t>
            </w:r>
            <w:r>
              <w:rPr>
                <w:sz w:val="22"/>
              </w:rPr>
              <w:t xml:space="preserve"> Tomasz Wysota</w:t>
            </w:r>
          </w:p>
        </w:tc>
        <w:tc>
          <w:tcPr>
            <w:tcW w:w="2429" w:type="dxa"/>
            <w:tcBorders>
              <w:top w:val="single" w:sz="6" w:space="0" w:color="0000FF"/>
              <w:start w:val="single" w:sz="6" w:space="0" w:color="0000FF"/>
              <w:bottom w:val="single" w:sz="6" w:space="0" w:color="0000FF"/>
              <w:end w:val="single" w:sz="6" w:space="0" w:color="0000FF"/>
            </w:tcBorders>
          </w:tcPr>
          <w:p>
            <w:pPr>
              <w:pStyle w:val="Footer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Data,      </w:t>
            </w:r>
            <w:r>
              <w:rPr>
                <w:color w:val="000000"/>
                <w:sz w:val="22"/>
              </w:rPr>
              <w:t>21.01.2025</w:t>
            </w:r>
          </w:p>
        </w:tc>
        <w:tc>
          <w:tcPr>
            <w:tcW w:w="3412" w:type="dxa"/>
            <w:gridSpan w:val="3"/>
            <w:tcBorders>
              <w:top w:val="single" w:sz="6" w:space="0" w:color="0000FF"/>
              <w:start w:val="single" w:sz="6" w:space="0" w:color="0000FF"/>
              <w:bottom w:val="single" w:sz="6" w:space="0" w:color="0000FF"/>
              <w:end w:val="single" w:sz="6" w:space="0" w:color="0000FF"/>
            </w:tcBorders>
          </w:tcPr>
          <w:p>
            <w:pPr>
              <w:pStyle w:val="Footer"/>
              <w:rPr>
                <w:iCs/>
                <w:sz w:val="22"/>
              </w:rPr>
            </w:pPr>
            <w:r>
              <w:rPr>
                <w:iCs/>
                <w:sz w:val="22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Bookman Old Style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274dd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  <w14:ligatures w14:val="none"/>
    </w:rPr>
  </w:style>
  <w:style w:type="paragraph" w:styleId="Heading1">
    <w:name w:val="heading 1"/>
    <w:basedOn w:val="Normal"/>
    <w:next w:val="Normal"/>
    <w:link w:val="Nagwek1Znak"/>
    <w:qFormat/>
    <w:rsid w:val="005274dd"/>
    <w:pPr>
      <w:keepNext w:val="true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Nagwek2Znak"/>
    <w:qFormat/>
    <w:rsid w:val="005274dd"/>
    <w:pPr>
      <w:keepNext w:val="true"/>
      <w:outlineLvl w:val="1"/>
    </w:pPr>
    <w:rPr>
      <w:i/>
      <w:iCs/>
      <w:sz w:val="20"/>
      <w:lang w:bidi="fa-IR"/>
    </w:rPr>
  </w:style>
  <w:style w:type="paragraph" w:styleId="Heading3">
    <w:name w:val="heading 3"/>
    <w:basedOn w:val="Normal"/>
    <w:next w:val="Normal"/>
    <w:link w:val="Nagwek3Znak"/>
    <w:qFormat/>
    <w:rsid w:val="005274dd"/>
    <w:pPr>
      <w:keepNext w:val="true"/>
      <w:outlineLvl w:val="2"/>
    </w:pPr>
    <w:rPr>
      <w:i/>
      <w:iCs/>
      <w:color w:val="000000"/>
      <w:sz w:val="22"/>
    </w:rPr>
  </w:style>
  <w:style w:type="paragraph" w:styleId="Heading6">
    <w:name w:val="heading 6"/>
    <w:basedOn w:val="Normal"/>
    <w:next w:val="Normal"/>
    <w:link w:val="Nagwek6Znak"/>
    <w:qFormat/>
    <w:rsid w:val="005274dd"/>
    <w:pPr>
      <w:keepNext w:val="true"/>
      <w:outlineLvl w:val="5"/>
    </w:pPr>
    <w:rPr>
      <w:i/>
      <w:iCs/>
      <w:sz w:val="20"/>
      <w:lang w:bidi="fa-I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5274dd"/>
    <w:rPr>
      <w:rFonts w:ascii="Times New Roman" w:hAnsi="Times New Roman" w:eastAsia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Nagwek2Znak" w:customStyle="1">
    <w:name w:val="Nagłówek 2 Znak"/>
    <w:basedOn w:val="DefaultParagraphFont"/>
    <w:qFormat/>
    <w:rsid w:val="005274dd"/>
    <w:rPr>
      <w:rFonts w:ascii="Times New Roman" w:hAnsi="Times New Roman" w:eastAsia="Times New Roman" w:cs="Times New Roman"/>
      <w:i/>
      <w:iCs/>
      <w:kern w:val="0"/>
      <w:sz w:val="20"/>
      <w:szCs w:val="24"/>
      <w:lang w:eastAsia="pl-PL" w:bidi="fa-IR"/>
      <w14:ligatures w14:val="none"/>
    </w:rPr>
  </w:style>
  <w:style w:type="character" w:styleId="Nagwek3Znak" w:customStyle="1">
    <w:name w:val="Nagłówek 3 Znak"/>
    <w:basedOn w:val="DefaultParagraphFont"/>
    <w:qFormat/>
    <w:rsid w:val="005274dd"/>
    <w:rPr>
      <w:rFonts w:ascii="Times New Roman" w:hAnsi="Times New Roman" w:eastAsia="Times New Roman" w:cs="Times New Roman"/>
      <w:i/>
      <w:iCs/>
      <w:color w:val="000000"/>
      <w:kern w:val="0"/>
      <w:szCs w:val="24"/>
      <w:lang w:eastAsia="pl-PL"/>
      <w14:ligatures w14:val="none"/>
    </w:rPr>
  </w:style>
  <w:style w:type="character" w:styleId="Nagwek6Znak" w:customStyle="1">
    <w:name w:val="Nagłówek 6 Znak"/>
    <w:basedOn w:val="DefaultParagraphFont"/>
    <w:qFormat/>
    <w:rsid w:val="005274dd"/>
    <w:rPr>
      <w:rFonts w:ascii="Times New Roman" w:hAnsi="Times New Roman" w:eastAsia="Times New Roman" w:cs="Times New Roman"/>
      <w:i/>
      <w:iCs/>
      <w:kern w:val="0"/>
      <w:sz w:val="20"/>
      <w:szCs w:val="24"/>
      <w:lang w:eastAsia="pl-PL" w:bidi="fa-IR"/>
      <w14:ligatures w14:val="none"/>
    </w:rPr>
  </w:style>
  <w:style w:type="character" w:styleId="StopkaZnak" w:customStyle="1">
    <w:name w:val="Stopka Znak"/>
    <w:basedOn w:val="DefaultParagraphFont"/>
    <w:semiHidden/>
    <w:qFormat/>
    <w:rsid w:val="00ce6895"/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semiHidden/>
    <w:unhideWhenUsed/>
    <w:rsid w:val="00ce6895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LibreOffice/25.8.3.2$Windows_X86_64 LibreOffice_project/8ca8d55c161d602844f5428fa4b58097424e324e</Application>
  <AppVersion>15.0000</AppVersion>
  <Pages>2</Pages>
  <Words>472</Words>
  <Characters>2957</Characters>
  <CharactersWithSpaces>3462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2024-01-17T09:45:00Z</dcterms:created>
  <dc:creator>ASD</dc:creator>
  <dc:description/>
  <dc:language>pl-PL</dc:language>
  <cp:lastModifiedBy>ASD</cp:lastModifiedBy>
  <dcterms:modified xsi:type="dcterms:W3CDTF">2025-11-05T08:37:00Z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